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59A42"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年红旗区转移支付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 w14:paraId="71C7705C"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 w14:paraId="4FC252F4"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100948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元，其中：返还性收入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13388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万元，一般性转移支付收入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83985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专项转移支付收入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3575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返还性收入包括：所得税基数返还收入907万元，成品油税费改革税收返还收入223万元，增值税税收返还收入2055万元，增值税五五分享税收返还收入10203万元；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一般性转移支付收入包括：均衡性转移支付收入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7414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县级基本财力保障机制奖补资金收入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2088万元，结算补助收入417万元，固定数额补助收入4569万元、其他一般性转移支付收入69497万元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专项转移支付收入包括：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其他收入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3575万元。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ZhNmI1ZjExNDhjYWViMDdlOGQ0YWFiMmM3ODNjOTI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129D6EF7"/>
    <w:rsid w:val="137D31F0"/>
    <w:rsid w:val="13D05C67"/>
    <w:rsid w:val="169D1A8D"/>
    <w:rsid w:val="16BD27C8"/>
    <w:rsid w:val="17263548"/>
    <w:rsid w:val="18CB0764"/>
    <w:rsid w:val="18FF22A3"/>
    <w:rsid w:val="1A3E3269"/>
    <w:rsid w:val="1B944F25"/>
    <w:rsid w:val="267C6AB7"/>
    <w:rsid w:val="26CC3328"/>
    <w:rsid w:val="27D1516B"/>
    <w:rsid w:val="27ED4A00"/>
    <w:rsid w:val="285329F7"/>
    <w:rsid w:val="288130E4"/>
    <w:rsid w:val="29945C1B"/>
    <w:rsid w:val="2AFD4528"/>
    <w:rsid w:val="30DF4612"/>
    <w:rsid w:val="314B586C"/>
    <w:rsid w:val="31A3127F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229</Words>
  <Characters>275</Characters>
  <Lines>3</Lines>
  <Paragraphs>1</Paragraphs>
  <TotalTime>173</TotalTime>
  <ScaleCrop>false</ScaleCrop>
  <LinksUpToDate>false</LinksUpToDate>
  <CharactersWithSpaces>287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杜露娜</cp:lastModifiedBy>
  <dcterms:modified xsi:type="dcterms:W3CDTF">2026-04-20T08:57:13Z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41634E8E87454170A31261D3A18ABAD2_12</vt:lpwstr>
  </property>
  <property fmtid="{D5CDD505-2E9C-101B-9397-08002B2CF9AE}" pid="4" name="KSOTemplateDocerSaveRecord">
    <vt:lpwstr>eyJoZGlkIjoiNTZhNmI1ZjExNDhjYWViMDdlOGQ0YWFiMmM3ODNjOTIiLCJ1c2VySWQiOiI0OTgzMTc3NjYifQ==</vt:lpwstr>
  </property>
</Properties>
</file>